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1" w:rsidRDefault="00DC0711" w:rsidP="00DC0711">
      <w:pPr>
        <w:rPr>
          <w:b/>
        </w:rPr>
      </w:pPr>
      <w:r>
        <w:rPr>
          <w:b/>
        </w:rPr>
        <w:t>FRESCOLORI Elegant</w:t>
      </w:r>
    </w:p>
    <w:p w:rsidR="00DC0711" w:rsidRDefault="00DC0711" w:rsidP="00DC0711">
      <w:pPr>
        <w:rPr>
          <w:b/>
        </w:rPr>
      </w:pPr>
    </w:p>
    <w:p w:rsidR="00DC0711" w:rsidRPr="000E3FED" w:rsidRDefault="00DC0711" w:rsidP="00DC0711">
      <w:pPr>
        <w:rPr>
          <w:b/>
        </w:rPr>
      </w:pPr>
      <w:r>
        <w:t>Levering en aanbrengen van het oppervlak uitsluitend door opgeleide medewerkers van FRESCOLORI, voor het garanderen van een langdurige hoge kwaliteit.</w:t>
      </w:r>
    </w:p>
    <w:p w:rsidR="00DC0711" w:rsidRDefault="00DC0711" w:rsidP="00DC0711"/>
    <w:p w:rsidR="00DC0711" w:rsidRDefault="00DC0711" w:rsidP="00DC0711">
      <w:r>
        <w:t xml:space="preserve">Een oppervlak met een gelijkmatige, rustige uitstraling – natuurlijk poreus. </w:t>
      </w:r>
    </w:p>
    <w:p w:rsidR="00DC0711" w:rsidRDefault="00DC0711" w:rsidP="00DC0711"/>
    <w:p w:rsidR="00DC0711" w:rsidRDefault="00DC0711" w:rsidP="00DC0711"/>
    <w:p w:rsidR="00DC0711" w:rsidRDefault="00DC0711" w:rsidP="00DC0711">
      <w:pPr>
        <w:rPr>
          <w:b/>
        </w:rPr>
      </w:pPr>
      <w:r>
        <w:rPr>
          <w:b/>
        </w:rPr>
        <w:t>FRESCOLORI Elegant</w:t>
      </w:r>
    </w:p>
    <w:p w:rsidR="00DC0711" w:rsidRDefault="00DC0711" w:rsidP="00DC0711"/>
    <w:p w:rsidR="00DC0711" w:rsidRDefault="00DC0711" w:rsidP="00DC0711">
      <w:r>
        <w:t>Materiaal:</w:t>
      </w:r>
      <w:r>
        <w:tab/>
        <w:t>2 lagen CM5</w:t>
      </w:r>
    </w:p>
    <w:p w:rsidR="00DC0711" w:rsidRDefault="00DC0711" w:rsidP="00DC0711"/>
    <w:p w:rsidR="00DC0711" w:rsidRDefault="00DC0711" w:rsidP="00DC0711">
      <w:r>
        <w:t>Verbruik:</w:t>
      </w:r>
      <w:r>
        <w:tab/>
        <w:t>CM5 ca. 1,8 kg/m² per laag</w:t>
      </w:r>
    </w:p>
    <w:p w:rsidR="00DC0711" w:rsidRDefault="00DC0711" w:rsidP="00DC0711"/>
    <w:p w:rsidR="00DC0711" w:rsidRDefault="00DC0711" w:rsidP="00DC0711">
      <w:r>
        <w:t>Kleur:</w:t>
      </w:r>
      <w:r>
        <w:tab/>
      </w:r>
      <w:r>
        <w:tab/>
        <w:t>vrij te kiezen</w:t>
      </w:r>
    </w:p>
    <w:p w:rsidR="00DC0711" w:rsidRDefault="00DC0711" w:rsidP="00DC0711"/>
    <w:p w:rsidR="00DC0711" w:rsidRDefault="00DC0711" w:rsidP="00DC0711">
      <w:r>
        <w:t xml:space="preserve">Toepassing: </w:t>
      </w:r>
      <w:r>
        <w:tab/>
        <w:t>binnen</w:t>
      </w:r>
    </w:p>
    <w:p w:rsidR="00DC0711" w:rsidRDefault="00DC0711" w:rsidP="00DC0711"/>
    <w:p w:rsidR="00DC0711" w:rsidRDefault="00DC0711" w:rsidP="00DC0711"/>
    <w:p w:rsidR="00DC0711" w:rsidRDefault="00DC0711" w:rsidP="00DC0711">
      <w:r>
        <w:t>Oppervlakken zijn voorbereid en gegrond.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De eerste laag Caramor-marmerpleister korrelgrootte 5 aanbrengen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Wachten totdat de eerste laag droog is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De tweede laag Caramor-marmerpleister korrelgrootte 5 aanbrengen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DC0711" w:rsidRDefault="00DC0711" w:rsidP="00DC0711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Oppervlak direct gladstrijken met een pleisterspaan door deze gelijkmatig aan te drukken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 xml:space="preserve">Ervoor zorgen dat uitlopende kalkmelk gelijkmatig wordt verdeeld 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Oppervlak volledig glad maken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DC0711" w:rsidRDefault="00DC0711" w:rsidP="00DC0711">
      <w:pPr>
        <w:pStyle w:val="Listenabsatz"/>
        <w:numPr>
          <w:ilvl w:val="0"/>
          <w:numId w:val="4"/>
        </w:numPr>
      </w:pPr>
      <w:r>
        <w:t>Oppervlak met een blokkwast met lange haren en spuitfles met water bevochtigen</w:t>
      </w:r>
    </w:p>
    <w:p w:rsidR="001E27FE" w:rsidRPr="00A96557" w:rsidRDefault="001E27FE" w:rsidP="00DC0711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DC0711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2017-03-21T13:59:00Z</dcterms:created>
  <dcterms:modified xsi:type="dcterms:W3CDTF">2017-03-21T13:59:00Z</dcterms:modified>
</cp:coreProperties>
</file>